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A2B" w:rsidRPr="00245A2B" w:rsidRDefault="00245A2B" w:rsidP="00245A2B">
      <w:pPr>
        <w:spacing w:before="120" w:after="120"/>
        <w:ind w:right="57" w:firstLine="567"/>
        <w:jc w:val="center"/>
        <w:rPr>
          <w:rFonts w:ascii="Sylfaen" w:eastAsia="Times New Roman" w:hAnsi="Sylfaen" w:cs="Times New Roman"/>
          <w:b/>
          <w:sz w:val="24"/>
          <w:szCs w:val="24"/>
          <w:lang w:val="ka-GE"/>
        </w:rPr>
      </w:pPr>
      <w:r w:rsidRPr="00245A2B">
        <w:rPr>
          <w:rFonts w:ascii="Sylfaen" w:eastAsia="Times New Roman" w:hAnsi="Sylfaen" w:cs="Times New Roman"/>
          <w:b/>
          <w:sz w:val="24"/>
          <w:szCs w:val="24"/>
          <w:lang w:val="ka-GE"/>
        </w:rPr>
        <w:t>ხანგრძლივი მოვლის სტაციონარი</w:t>
      </w:r>
    </w:p>
    <w:p w:rsidR="00245A2B" w:rsidRDefault="00245A2B" w:rsidP="008D5631">
      <w:pPr>
        <w:spacing w:before="120" w:after="120"/>
        <w:ind w:right="57" w:firstLine="567"/>
        <w:jc w:val="both"/>
        <w:rPr>
          <w:rFonts w:ascii="Sylfaen" w:eastAsia="Times New Roman" w:hAnsi="Sylfaen" w:cs="Times New Roman"/>
          <w:sz w:val="20"/>
          <w:szCs w:val="20"/>
          <w:lang w:val="ka-GE"/>
        </w:rPr>
      </w:pPr>
    </w:p>
    <w:p w:rsidR="00705CE6" w:rsidRDefault="008D5631" w:rsidP="008D5631">
      <w:pPr>
        <w:spacing w:before="120" w:after="120"/>
        <w:ind w:right="57" w:firstLine="567"/>
        <w:jc w:val="both"/>
        <w:rPr>
          <w:rFonts w:ascii="Sylfaen" w:eastAsia="Times New Roman" w:hAnsi="Sylfaen" w:cs="Times New Roman"/>
          <w:sz w:val="20"/>
          <w:szCs w:val="20"/>
          <w:lang w:val="ka-GE"/>
        </w:rPr>
      </w:pPr>
      <w:r>
        <w:rPr>
          <w:rFonts w:ascii="Sylfaen" w:eastAsia="Times New Roman" w:hAnsi="Sylfaen" w:cs="Times New Roman"/>
          <w:sz w:val="20"/>
          <w:szCs w:val="20"/>
          <w:lang w:val="ka-GE"/>
        </w:rPr>
        <w:t>საყოველთაო ჯანმრთელობის დაცვის სახელმწიფო პროგრამის მიმდინარე ეტაპზე გადაუდებელი სტაციონარული მომსახურება ულიმიტოა ასაკობრივი და მიზნობრივი ჯგუფების, ასევე ვეტერანებისთვის. დანართ</w:t>
      </w:r>
      <w:r w:rsidR="00023CC2">
        <w:rPr>
          <w:rFonts w:ascii="Sylfaen" w:eastAsia="Times New Roman" w:hAnsi="Sylfaen" w:cs="Times New Roman"/>
          <w:sz w:val="20"/>
          <w:szCs w:val="20"/>
          <w:lang w:val="ka-GE"/>
        </w:rPr>
        <w:t>ი</w:t>
      </w:r>
      <w:r>
        <w:rPr>
          <w:rFonts w:ascii="Sylfaen" w:eastAsia="Times New Roman" w:hAnsi="Sylfaen" w:cs="Times New Roman"/>
          <w:sz w:val="20"/>
          <w:szCs w:val="20"/>
          <w:lang w:val="ka-GE"/>
        </w:rPr>
        <w:t xml:space="preserve"> 1.1-ით მოსარგებლეების (ე.წ. საბაზისო პაკეტით მოსარგებლეები)</w:t>
      </w:r>
      <w:r w:rsidRPr="008D5631">
        <w:rPr>
          <w:rFonts w:ascii="Sylfaen" w:eastAsia="Times New Roman" w:hAnsi="Sylfaen" w:cs="Times New Roman"/>
          <w:sz w:val="20"/>
          <w:szCs w:val="20"/>
          <w:lang w:val="ka-GE"/>
        </w:rPr>
        <w:t xml:space="preserve"> მიერ ლიმიტის ამოწურვის შემდეგ</w:t>
      </w:r>
      <w:r>
        <w:rPr>
          <w:rFonts w:ascii="Sylfaen" w:eastAsia="Times New Roman" w:hAnsi="Sylfaen" w:cs="Times New Roman"/>
          <w:sz w:val="20"/>
          <w:szCs w:val="20"/>
          <w:lang w:val="ka-GE"/>
        </w:rPr>
        <w:t>,</w:t>
      </w:r>
      <w:r w:rsidRPr="008D5631">
        <w:rPr>
          <w:rFonts w:ascii="Sylfaen" w:eastAsia="Times New Roman" w:hAnsi="Sylfaen" w:cs="Times New Roman"/>
          <w:sz w:val="20"/>
          <w:szCs w:val="20"/>
          <w:lang w:val="ka-GE"/>
        </w:rPr>
        <w:t xml:space="preserve"> ალტერნატიული დაფინანსების მოძ</w:t>
      </w:r>
      <w:r>
        <w:rPr>
          <w:rFonts w:ascii="Sylfaen" w:eastAsia="Times New Roman" w:hAnsi="Sylfaen" w:cs="Times New Roman"/>
          <w:sz w:val="20"/>
          <w:szCs w:val="20"/>
          <w:lang w:val="ka-GE"/>
        </w:rPr>
        <w:t>იება ისევ საბიუჯეტო სახსრებიდან ხდება</w:t>
      </w:r>
      <w:r w:rsidRPr="008D5631">
        <w:rPr>
          <w:rFonts w:ascii="Sylfaen" w:eastAsia="Times New Roman" w:hAnsi="Sylfaen" w:cs="Times New Roman"/>
          <w:sz w:val="20"/>
          <w:szCs w:val="20"/>
          <w:lang w:val="ka-GE"/>
        </w:rPr>
        <w:t>.</w:t>
      </w:r>
      <w:r>
        <w:rPr>
          <w:rFonts w:ascii="Sylfaen" w:eastAsia="Times New Roman" w:hAnsi="Sylfaen" w:cs="Times New Roman"/>
          <w:sz w:val="20"/>
          <w:szCs w:val="20"/>
          <w:lang w:val="ka-GE"/>
        </w:rPr>
        <w:t xml:space="preserve"> </w:t>
      </w:r>
    </w:p>
    <w:p w:rsidR="00705CE6" w:rsidRDefault="00705CE6" w:rsidP="008D5631">
      <w:pPr>
        <w:spacing w:before="120" w:after="120"/>
        <w:ind w:right="57" w:firstLine="567"/>
        <w:jc w:val="both"/>
        <w:rPr>
          <w:rFonts w:ascii="Sylfaen" w:eastAsia="Times New Roman" w:hAnsi="Sylfaen" w:cs="Times New Roman"/>
          <w:sz w:val="20"/>
          <w:szCs w:val="20"/>
          <w:lang w:val="ka-GE"/>
        </w:rPr>
      </w:pPr>
      <w:r>
        <w:rPr>
          <w:rFonts w:ascii="Sylfaen" w:eastAsia="Times New Roman" w:hAnsi="Sylfaen" w:cs="Times New Roman"/>
          <w:sz w:val="20"/>
          <w:szCs w:val="20"/>
          <w:lang w:val="ka-GE"/>
        </w:rPr>
        <w:t>2018 წელს 14 დღეზე მეტი დაყოვნებით ინტენსიური თერაპია/რეანიმაციის ნოზოლოგიური კოდის ხარჯები დაახლოებით 50 მლნ. ლარამდეა:</w:t>
      </w:r>
    </w:p>
    <w:tbl>
      <w:tblPr>
        <w:tblW w:w="4677" w:type="dxa"/>
        <w:tblInd w:w="2236" w:type="dxa"/>
        <w:tblLook w:val="04A0" w:firstRow="1" w:lastRow="0" w:firstColumn="1" w:lastColumn="0" w:noHBand="0" w:noVBand="1"/>
      </w:tblPr>
      <w:tblGrid>
        <w:gridCol w:w="3077"/>
        <w:gridCol w:w="1600"/>
      </w:tblGrid>
      <w:tr w:rsidR="00E33874" w:rsidRPr="00E33874" w:rsidTr="00E33874">
        <w:trPr>
          <w:trHeight w:val="510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874" w:rsidRPr="00E33874" w:rsidRDefault="00E33874" w:rsidP="00E338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E33874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პროგრამული</w:t>
            </w:r>
            <w:proofErr w:type="spellEnd"/>
            <w:r w:rsidRPr="00E338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33874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კოდი</w:t>
            </w:r>
            <w:proofErr w:type="spellEnd"/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874" w:rsidRPr="00E33874" w:rsidRDefault="00E33874" w:rsidP="00E338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E33874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ხარჯი</w:t>
            </w:r>
            <w:proofErr w:type="spellEnd"/>
          </w:p>
        </w:tc>
      </w:tr>
      <w:tr w:rsidR="00E33874" w:rsidRPr="00E33874" w:rsidTr="00E33874">
        <w:trPr>
          <w:trHeight w:val="300"/>
        </w:trPr>
        <w:tc>
          <w:tcPr>
            <w:tcW w:w="3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874" w:rsidRPr="00E33874" w:rsidRDefault="00E33874" w:rsidP="00E338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E33874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დაყოვნება</w:t>
            </w:r>
            <w:proofErr w:type="spellEnd"/>
            <w:r w:rsidRPr="00E338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14-21</w:t>
            </w:r>
            <w:r w:rsidRPr="00E33874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</w:t>
            </w:r>
            <w:r w:rsidRPr="00E338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/</w:t>
            </w:r>
            <w:r w:rsidRPr="00E33874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874" w:rsidRPr="00E33874" w:rsidRDefault="00E33874" w:rsidP="00E338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38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18 829 567,60   </w:t>
            </w:r>
          </w:p>
        </w:tc>
      </w:tr>
      <w:tr w:rsidR="00E33874" w:rsidRPr="00E33874" w:rsidTr="00E33874">
        <w:trPr>
          <w:trHeight w:val="510"/>
        </w:trPr>
        <w:tc>
          <w:tcPr>
            <w:tcW w:w="3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874" w:rsidRPr="00E33874" w:rsidRDefault="00E33874" w:rsidP="00E338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E33874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დაყოვნება</w:t>
            </w:r>
            <w:proofErr w:type="spellEnd"/>
            <w:r w:rsidRPr="00E338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&gt;21</w:t>
            </w:r>
            <w:r w:rsidRPr="00E33874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</w:t>
            </w:r>
            <w:r w:rsidRPr="00E338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/</w:t>
            </w:r>
            <w:r w:rsidRPr="00E33874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</w:t>
            </w:r>
            <w:r w:rsidRPr="00E338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33874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</w:t>
            </w:r>
            <w:proofErr w:type="spellEnd"/>
            <w:r w:rsidRPr="00E338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&lt; 45</w:t>
            </w:r>
            <w:r w:rsidRPr="00E33874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</w:t>
            </w:r>
            <w:r w:rsidRPr="00E338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/</w:t>
            </w:r>
            <w:r w:rsidRPr="00E33874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874" w:rsidRPr="00E33874" w:rsidRDefault="00E33874" w:rsidP="00E338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38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19 566 602,88   </w:t>
            </w:r>
          </w:p>
        </w:tc>
      </w:tr>
      <w:tr w:rsidR="00E33874" w:rsidRPr="00E33874" w:rsidTr="00E33874">
        <w:trPr>
          <w:trHeight w:val="300"/>
        </w:trPr>
        <w:tc>
          <w:tcPr>
            <w:tcW w:w="3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874" w:rsidRPr="00E33874" w:rsidRDefault="00E33874" w:rsidP="00E338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E33874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დაყოვნება</w:t>
            </w:r>
            <w:proofErr w:type="spellEnd"/>
            <w:r w:rsidRPr="00E338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&gt;45</w:t>
            </w:r>
            <w:r w:rsidRPr="00E33874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</w:t>
            </w:r>
            <w:r w:rsidRPr="00E3387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/</w:t>
            </w:r>
            <w:r w:rsidRPr="00E33874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874" w:rsidRPr="00E33874" w:rsidRDefault="00E33874" w:rsidP="00E338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3387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   10 893 458,18   </w:t>
            </w:r>
          </w:p>
        </w:tc>
      </w:tr>
    </w:tbl>
    <w:p w:rsidR="00CA5BB7" w:rsidRDefault="004323ED" w:rsidP="00CA5BB7">
      <w:pPr>
        <w:spacing w:before="120" w:after="120"/>
        <w:ind w:right="57" w:firstLine="567"/>
        <w:jc w:val="both"/>
        <w:rPr>
          <w:rFonts w:ascii="Sylfaen" w:eastAsia="Times New Roman" w:hAnsi="Sylfaen" w:cs="Times New Roman"/>
          <w:sz w:val="20"/>
          <w:szCs w:val="20"/>
          <w:lang w:val="ka-GE"/>
        </w:rPr>
      </w:pPr>
      <w:r>
        <w:rPr>
          <w:rFonts w:ascii="Sylfaen" w:eastAsia="Times New Roman" w:hAnsi="Sylfaen" w:cs="Times New Roman"/>
          <w:sz w:val="20"/>
          <w:szCs w:val="20"/>
          <w:lang w:val="ka-GE"/>
        </w:rPr>
        <w:t>მხოლოდ 45 დღ</w:t>
      </w:r>
      <w:r w:rsidR="00CA5BB7">
        <w:rPr>
          <w:rFonts w:ascii="Sylfaen" w:eastAsia="Times New Roman" w:hAnsi="Sylfaen" w:cs="Times New Roman"/>
          <w:sz w:val="20"/>
          <w:szCs w:val="20"/>
          <w:lang w:val="ka-GE"/>
        </w:rPr>
        <w:t>ე</w:t>
      </w:r>
      <w:r>
        <w:rPr>
          <w:rFonts w:ascii="Sylfaen" w:eastAsia="Times New Roman" w:hAnsi="Sylfaen" w:cs="Times New Roman"/>
          <w:sz w:val="20"/>
          <w:szCs w:val="20"/>
          <w:lang w:val="ka-GE"/>
        </w:rPr>
        <w:t>ზე მეტი დაყოვნების პროგრამული კოდის ხარჯები 11 მლნ</w:t>
      </w:r>
      <w:r w:rsidR="00023CC2">
        <w:rPr>
          <w:rFonts w:ascii="Sylfaen" w:eastAsia="Times New Roman" w:hAnsi="Sylfaen" w:cs="Times New Roman"/>
          <w:sz w:val="20"/>
          <w:szCs w:val="20"/>
          <w:lang w:val="ka-GE"/>
        </w:rPr>
        <w:t>.</w:t>
      </w:r>
      <w:r>
        <w:rPr>
          <w:rFonts w:ascii="Sylfaen" w:eastAsia="Times New Roman" w:hAnsi="Sylfaen" w:cs="Times New Roman"/>
          <w:sz w:val="20"/>
          <w:szCs w:val="20"/>
          <w:lang w:val="ka-GE"/>
        </w:rPr>
        <w:t>-მდეა.</w:t>
      </w:r>
      <w:r w:rsidR="00E33874">
        <w:rPr>
          <w:rFonts w:ascii="Sylfaen" w:eastAsia="Times New Roman" w:hAnsi="Sylfaen" w:cs="Times New Roman"/>
          <w:sz w:val="20"/>
          <w:szCs w:val="20"/>
          <w:lang w:val="ka-GE"/>
        </w:rPr>
        <w:t xml:space="preserve"> ამასთან, პირველი დონის ინტენსიური მკურნალობა/მოვლის </w:t>
      </w:r>
      <w:r w:rsidR="000227EE">
        <w:rPr>
          <w:rFonts w:ascii="Sylfaen" w:eastAsia="Times New Roman" w:hAnsi="Sylfaen" w:cs="Times New Roman"/>
          <w:sz w:val="20"/>
          <w:szCs w:val="20"/>
          <w:lang w:val="ka-GE"/>
        </w:rPr>
        <w:t>შემთხვევათა/ხარჯის</w:t>
      </w:r>
      <w:r w:rsidR="00E33874">
        <w:rPr>
          <w:rFonts w:ascii="Sylfaen" w:eastAsia="Times New Roman" w:hAnsi="Sylfaen" w:cs="Times New Roman"/>
          <w:sz w:val="20"/>
          <w:szCs w:val="20"/>
          <w:lang w:val="ka-GE"/>
        </w:rPr>
        <w:t xml:space="preserve"> ნახევარი, ხოლო მეორე დონის ინტენსიური მკურნალობა/მოვლის შემთხვევათა</w:t>
      </w:r>
      <w:r w:rsidR="000227EE">
        <w:rPr>
          <w:rFonts w:ascii="Sylfaen" w:eastAsia="Times New Roman" w:hAnsi="Sylfaen" w:cs="Times New Roman"/>
          <w:sz w:val="20"/>
          <w:szCs w:val="20"/>
          <w:lang w:val="ka-GE"/>
        </w:rPr>
        <w:t>/ხარჯის</w:t>
      </w:r>
      <w:r w:rsidR="00E33874">
        <w:rPr>
          <w:rFonts w:ascii="Sylfaen" w:eastAsia="Times New Roman" w:hAnsi="Sylfaen" w:cs="Times New Roman"/>
          <w:sz w:val="20"/>
          <w:szCs w:val="20"/>
          <w:lang w:val="ka-GE"/>
        </w:rPr>
        <w:t xml:space="preserve"> 30%-</w:t>
      </w:r>
      <w:r w:rsidR="000227EE">
        <w:rPr>
          <w:rFonts w:ascii="Sylfaen" w:eastAsia="Times New Roman" w:hAnsi="Sylfaen" w:cs="Times New Roman"/>
          <w:sz w:val="20"/>
          <w:szCs w:val="20"/>
          <w:lang w:val="ka-GE"/>
        </w:rPr>
        <w:t>მ</w:t>
      </w:r>
      <w:r w:rsidR="00E33874">
        <w:rPr>
          <w:rFonts w:ascii="Sylfaen" w:eastAsia="Times New Roman" w:hAnsi="Sylfaen" w:cs="Times New Roman"/>
          <w:sz w:val="20"/>
          <w:szCs w:val="20"/>
          <w:lang w:val="ka-GE"/>
        </w:rPr>
        <w:t>დე ნეონატალური ასაკის პაციენტები</w:t>
      </w:r>
      <w:r w:rsidR="000227EE">
        <w:rPr>
          <w:rFonts w:ascii="Sylfaen" w:eastAsia="Times New Roman" w:hAnsi="Sylfaen" w:cs="Times New Roman"/>
          <w:sz w:val="20"/>
          <w:szCs w:val="20"/>
          <w:lang w:val="ka-GE"/>
        </w:rPr>
        <w:t>ს მომსახურებას განეკუთვნება</w:t>
      </w:r>
      <w:r w:rsidR="00E33874">
        <w:rPr>
          <w:rFonts w:ascii="Sylfaen" w:eastAsia="Times New Roman" w:hAnsi="Sylfaen" w:cs="Times New Roman"/>
          <w:sz w:val="20"/>
          <w:szCs w:val="20"/>
          <w:lang w:val="ka-GE"/>
        </w:rPr>
        <w:t xml:space="preserve"> (მათი </w:t>
      </w:r>
      <w:r w:rsidR="000227EE">
        <w:rPr>
          <w:rFonts w:ascii="Sylfaen" w:eastAsia="Times New Roman" w:hAnsi="Sylfaen" w:cs="Times New Roman"/>
          <w:sz w:val="20"/>
          <w:szCs w:val="20"/>
          <w:lang w:val="ka-GE"/>
        </w:rPr>
        <w:t>მნიშვნელოვანი</w:t>
      </w:r>
      <w:r w:rsidR="00E33874">
        <w:rPr>
          <w:rFonts w:ascii="Sylfaen" w:eastAsia="Times New Roman" w:hAnsi="Sylfaen" w:cs="Times New Roman"/>
          <w:sz w:val="20"/>
          <w:szCs w:val="20"/>
          <w:lang w:val="ka-GE"/>
        </w:rPr>
        <w:t xml:space="preserve"> ნაწილი სახელმწიფო მზრუნველობის ქვეშ მყოფი პირებია). </w:t>
      </w:r>
      <w:r w:rsidR="00CA5BB7">
        <w:rPr>
          <w:rFonts w:ascii="Sylfaen" w:eastAsia="Times New Roman" w:hAnsi="Sylfaen" w:cs="Times New Roman"/>
          <w:sz w:val="20"/>
          <w:szCs w:val="20"/>
          <w:lang w:val="ka-GE"/>
        </w:rPr>
        <w:t xml:space="preserve">აქვე გასათვალისწინებელია, რომ უმეტეს შემთხვევაში გარდა ინტენსიური თერაპია/რეანიმაციისა პაციენტებს ჩატარებული აქვთ ოპერაციული მკურნალობაც. </w:t>
      </w:r>
      <w:r w:rsidR="00CA5BB7" w:rsidRPr="008D5631">
        <w:rPr>
          <w:rFonts w:ascii="Sylfaen" w:eastAsia="Sylfaen" w:hAnsi="Sylfaen"/>
          <w:sz w:val="20"/>
          <w:szCs w:val="20"/>
          <w:lang w:val="ka-GE"/>
        </w:rPr>
        <w:t>არც თუ იშვიათია შემთხვევები, როდესაც ხანდაზმულ ან/და ინოპერაბილურ პაციენტს უტარდება</w:t>
      </w:r>
      <w:r w:rsidR="00CA5BB7">
        <w:rPr>
          <w:rFonts w:ascii="Sylfaen" w:eastAsia="Sylfaen" w:hAnsi="Sylfaen"/>
          <w:sz w:val="20"/>
          <w:szCs w:val="20"/>
          <w:lang w:val="ka-GE"/>
        </w:rPr>
        <w:t xml:space="preserve"> „რადიკალური“</w:t>
      </w:r>
      <w:r w:rsidR="00CA5BB7" w:rsidRPr="008D5631">
        <w:rPr>
          <w:rFonts w:ascii="Sylfaen" w:eastAsia="Sylfaen" w:hAnsi="Sylfaen"/>
          <w:sz w:val="20"/>
          <w:szCs w:val="20"/>
          <w:lang w:val="ka-GE"/>
        </w:rPr>
        <w:t xml:space="preserve"> ოპერაციული მკურნალობა, რასაც თან მოსდევს ინტენსიური მკურნალობა/მოვლით გახანგრძლივებული ჰოსპიტალიზაცია ან/და ლეტალური გამოსავალი. </w:t>
      </w:r>
    </w:p>
    <w:tbl>
      <w:tblPr>
        <w:tblW w:w="7229" w:type="dxa"/>
        <w:tblInd w:w="988" w:type="dxa"/>
        <w:tblLook w:val="04A0" w:firstRow="1" w:lastRow="0" w:firstColumn="1" w:lastColumn="0" w:noHBand="0" w:noVBand="1"/>
      </w:tblPr>
      <w:tblGrid>
        <w:gridCol w:w="3118"/>
        <w:gridCol w:w="2977"/>
        <w:gridCol w:w="1134"/>
      </w:tblGrid>
      <w:tr w:rsidR="00CA5BB7" w:rsidRPr="00CA5BB7" w:rsidTr="00CA5BB7">
        <w:trPr>
          <w:trHeight w:val="51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BB7" w:rsidRPr="00CA5BB7" w:rsidRDefault="004323ED" w:rsidP="00CA5B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0227EE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proofErr w:type="spellStart"/>
            <w:r w:rsidR="00CA5BB7" w:rsidRPr="00CA5BB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ასაკობრივი</w:t>
            </w:r>
            <w:proofErr w:type="spellEnd"/>
            <w:r w:rsidR="00CA5BB7" w:rsidRPr="00CA5BB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CA5BB7" w:rsidRPr="00CA5BB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ჯგუფი</w:t>
            </w:r>
            <w:proofErr w:type="spellEnd"/>
            <w:r w:rsidR="00CA5BB7" w:rsidRPr="00CA5BB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BB7" w:rsidRPr="00CA5BB7" w:rsidRDefault="00CA5BB7" w:rsidP="00CA5B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CA5BB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ხარჯი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BB7" w:rsidRPr="00CA5BB7" w:rsidRDefault="00CA5BB7" w:rsidP="00CA5B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A5BB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CA5BB7" w:rsidRPr="00CA5BB7" w:rsidTr="00CA5BB7">
        <w:trPr>
          <w:trHeight w:val="30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5BB7" w:rsidRPr="00CA5BB7" w:rsidRDefault="00CA5BB7" w:rsidP="00CA5B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A5BB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&lt;6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BB7" w:rsidRPr="00CA5BB7" w:rsidRDefault="00CA5BB7" w:rsidP="00CA5B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A5BB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            6 054 531,92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BB7" w:rsidRPr="00CA5BB7" w:rsidRDefault="00CA5BB7" w:rsidP="00CA5B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A5BB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56%</w:t>
            </w:r>
          </w:p>
        </w:tc>
      </w:tr>
      <w:tr w:rsidR="00CA5BB7" w:rsidRPr="00CA5BB7" w:rsidTr="00CA5BB7">
        <w:trPr>
          <w:trHeight w:val="51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BB7" w:rsidRPr="00CA5BB7" w:rsidRDefault="00CA5BB7" w:rsidP="00CA5B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lightGray"/>
              </w:rPr>
            </w:pPr>
            <w:proofErr w:type="spellStart"/>
            <w:r w:rsidRPr="00CA5BB7">
              <w:rPr>
                <w:rFonts w:ascii="Sylfaen" w:eastAsia="Times New Roman" w:hAnsi="Sylfaen" w:cs="Sylfaen"/>
                <w:color w:val="000000"/>
                <w:sz w:val="20"/>
                <w:szCs w:val="20"/>
                <w:highlight w:val="lightGray"/>
              </w:rPr>
              <w:t>მათ</w:t>
            </w:r>
            <w:proofErr w:type="spellEnd"/>
            <w:r w:rsidRPr="00CA5BB7"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lightGray"/>
              </w:rPr>
              <w:t xml:space="preserve"> </w:t>
            </w:r>
            <w:proofErr w:type="spellStart"/>
            <w:r w:rsidRPr="00CA5BB7">
              <w:rPr>
                <w:rFonts w:ascii="Sylfaen" w:eastAsia="Times New Roman" w:hAnsi="Sylfaen" w:cs="Sylfaen"/>
                <w:color w:val="000000"/>
                <w:sz w:val="20"/>
                <w:szCs w:val="20"/>
                <w:highlight w:val="lightGray"/>
              </w:rPr>
              <w:t>შორის</w:t>
            </w:r>
            <w:proofErr w:type="spellEnd"/>
            <w:r w:rsidRPr="00CA5BB7"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lightGray"/>
              </w:rPr>
              <w:t xml:space="preserve"> </w:t>
            </w:r>
            <w:proofErr w:type="spellStart"/>
            <w:r w:rsidRPr="00CA5BB7">
              <w:rPr>
                <w:rFonts w:ascii="Sylfaen" w:eastAsia="Times New Roman" w:hAnsi="Sylfaen" w:cs="Sylfaen"/>
                <w:color w:val="000000"/>
                <w:sz w:val="20"/>
                <w:szCs w:val="20"/>
                <w:highlight w:val="lightGray"/>
              </w:rPr>
              <w:t>ნეონატ</w:t>
            </w:r>
            <w:proofErr w:type="spellEnd"/>
            <w:r w:rsidRPr="00CA5BB7"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lightGray"/>
              </w:rPr>
              <w:t xml:space="preserve">. </w:t>
            </w:r>
            <w:proofErr w:type="spellStart"/>
            <w:r w:rsidRPr="00CA5BB7">
              <w:rPr>
                <w:rFonts w:ascii="Sylfaen" w:eastAsia="Times New Roman" w:hAnsi="Sylfaen" w:cs="Sylfaen"/>
                <w:color w:val="000000"/>
                <w:sz w:val="20"/>
                <w:szCs w:val="20"/>
                <w:highlight w:val="lightGray"/>
              </w:rPr>
              <w:t>ასაკის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BB7" w:rsidRPr="00CA5BB7" w:rsidRDefault="00CA5BB7" w:rsidP="00CA5B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lightGray"/>
              </w:rPr>
            </w:pPr>
            <w:r w:rsidRPr="00CA5BB7"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lightGray"/>
              </w:rPr>
              <w:t xml:space="preserve">                         3 349 365,64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BB7" w:rsidRPr="00CA5BB7" w:rsidRDefault="00CA5BB7" w:rsidP="00CA5B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lightGray"/>
              </w:rPr>
            </w:pPr>
            <w:r w:rsidRPr="00CA5BB7"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lightGray"/>
              </w:rPr>
              <w:t>31%</w:t>
            </w:r>
          </w:p>
        </w:tc>
      </w:tr>
      <w:tr w:rsidR="00CA5BB7" w:rsidRPr="00CA5BB7" w:rsidTr="00CA5BB7">
        <w:trPr>
          <w:trHeight w:val="30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BB7" w:rsidRPr="00CA5BB7" w:rsidRDefault="00CA5BB7" w:rsidP="00CA5B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A5BB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6_17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BB7" w:rsidRPr="00CA5BB7" w:rsidRDefault="00CA5BB7" w:rsidP="00CA5B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A5BB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            1 315 785,96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BB7" w:rsidRPr="00CA5BB7" w:rsidRDefault="00CA5BB7" w:rsidP="00CA5B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A5BB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12%</w:t>
            </w:r>
          </w:p>
        </w:tc>
      </w:tr>
      <w:tr w:rsidR="00CA5BB7" w:rsidRPr="00CA5BB7" w:rsidTr="00CA5BB7">
        <w:trPr>
          <w:trHeight w:val="30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BB7" w:rsidRPr="00CA5BB7" w:rsidRDefault="00CA5BB7" w:rsidP="00CA5B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A5BB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18_35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BB7" w:rsidRPr="00CA5BB7" w:rsidRDefault="00CA5BB7" w:rsidP="00CA5B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A5BB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               197 378,52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BB7" w:rsidRPr="00CA5BB7" w:rsidRDefault="00CA5BB7" w:rsidP="00CA5B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A5BB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2%</w:t>
            </w:r>
          </w:p>
        </w:tc>
      </w:tr>
      <w:tr w:rsidR="00CA5BB7" w:rsidRPr="00CA5BB7" w:rsidTr="00CA5BB7">
        <w:trPr>
          <w:trHeight w:val="30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BB7" w:rsidRPr="00CA5BB7" w:rsidRDefault="00CA5BB7" w:rsidP="00CA5B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A5BB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36_55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BB7" w:rsidRPr="00CA5BB7" w:rsidRDefault="00CA5BB7" w:rsidP="00CA5B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A5BB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               439 517,32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BB7" w:rsidRPr="00CA5BB7" w:rsidRDefault="00CA5BB7" w:rsidP="00CA5B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A5BB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4%</w:t>
            </w:r>
          </w:p>
        </w:tc>
      </w:tr>
      <w:tr w:rsidR="00CA5BB7" w:rsidRPr="00CA5BB7" w:rsidTr="00CA5BB7">
        <w:trPr>
          <w:trHeight w:val="30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BB7" w:rsidRPr="00CA5BB7" w:rsidRDefault="00CA5BB7" w:rsidP="00CA5B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A5BB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56_65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BB7" w:rsidRPr="00CA5BB7" w:rsidRDefault="00CA5BB7" w:rsidP="00CA5B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A5BB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               651 659,88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BB7" w:rsidRPr="00CA5BB7" w:rsidRDefault="00CA5BB7" w:rsidP="00CA5B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A5BB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6%</w:t>
            </w:r>
          </w:p>
        </w:tc>
      </w:tr>
      <w:tr w:rsidR="00CA5BB7" w:rsidRPr="00CA5BB7" w:rsidTr="00CA5BB7">
        <w:trPr>
          <w:trHeight w:val="30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BB7" w:rsidRPr="00CA5BB7" w:rsidRDefault="00CA5BB7" w:rsidP="00CA5B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A5BB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66_75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BB7" w:rsidRPr="00CA5BB7" w:rsidRDefault="00CA5BB7" w:rsidP="00CA5B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A5BB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               982 836,20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BB7" w:rsidRPr="00CA5BB7" w:rsidRDefault="00CA5BB7" w:rsidP="00CA5B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A5BB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9%</w:t>
            </w:r>
          </w:p>
        </w:tc>
      </w:tr>
      <w:tr w:rsidR="00CA5BB7" w:rsidRPr="00CA5BB7" w:rsidTr="00CA5BB7">
        <w:trPr>
          <w:trHeight w:val="30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BB7" w:rsidRPr="00CA5BB7" w:rsidRDefault="00CA5BB7" w:rsidP="00CA5B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A5BB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&gt;75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BB7" w:rsidRPr="00CA5BB7" w:rsidRDefault="00CA5BB7" w:rsidP="00CA5B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A5BB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                      1 251 748,37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BB7" w:rsidRPr="00CA5BB7" w:rsidRDefault="00CA5BB7" w:rsidP="00CA5B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A5BB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11%</w:t>
            </w:r>
          </w:p>
        </w:tc>
      </w:tr>
      <w:tr w:rsidR="00CA5BB7" w:rsidRPr="00CA5BB7" w:rsidTr="00CA5BB7">
        <w:trPr>
          <w:trHeight w:val="30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BB7" w:rsidRPr="00CA5BB7" w:rsidRDefault="00CA5BB7" w:rsidP="00CA5B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CA5BB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სულ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BB7" w:rsidRPr="00CA5BB7" w:rsidRDefault="00CA5BB7" w:rsidP="00CA5B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A5BB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                      10 893 458,18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BB7" w:rsidRPr="00CA5BB7" w:rsidRDefault="00CA5BB7" w:rsidP="00CA5B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A5BB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</w:tbl>
    <w:p w:rsidR="00CA5BB7" w:rsidRPr="008D5631" w:rsidRDefault="00CA5BB7" w:rsidP="00CA5BB7">
      <w:pPr>
        <w:spacing w:before="120" w:after="120"/>
        <w:ind w:right="57" w:firstLine="567"/>
        <w:jc w:val="both"/>
        <w:rPr>
          <w:rFonts w:ascii="Sylfaen" w:eastAsia="Times New Roman" w:hAnsi="Sylfaen" w:cs="Times New Roman"/>
          <w:b/>
          <w:i/>
          <w:sz w:val="20"/>
          <w:szCs w:val="20"/>
          <w:lang w:val="ka-GE"/>
        </w:rPr>
      </w:pPr>
      <w:r w:rsidRPr="008D5631">
        <w:rPr>
          <w:rFonts w:ascii="Sylfaen" w:eastAsia="Times New Roman" w:hAnsi="Sylfaen" w:cs="Times New Roman"/>
          <w:b/>
          <w:i/>
          <w:sz w:val="20"/>
          <w:szCs w:val="20"/>
          <w:lang w:val="ka-GE"/>
        </w:rPr>
        <w:t>მნიშვნელოვან პრობლემას წარმოადგენს ნეონატალური ასაკისა და/ან ნეონატალურ ასაკში დაწყებული პათოლოგიების მქონე პაციენტების ინტენსიური თერაპიული მომსახურების ნოზოლოგიური კოდების ჭარბი გამოყენება</w:t>
      </w:r>
      <w:r w:rsidR="0023358E">
        <w:rPr>
          <w:rFonts w:ascii="Sylfaen" w:eastAsia="Times New Roman" w:hAnsi="Sylfaen" w:cs="Times New Roman"/>
          <w:b/>
          <w:i/>
          <w:sz w:val="20"/>
          <w:szCs w:val="20"/>
          <w:lang w:val="ka-GE"/>
        </w:rPr>
        <w:t xml:space="preserve"> (მხოლოდ გასულ წელს ინტენსიური თერაპიის ნოზოლოგიური კოდის ხარჯი 45 მლნ.-მდეა)</w:t>
      </w:r>
      <w:r w:rsidRPr="008D5631">
        <w:rPr>
          <w:rFonts w:ascii="Sylfaen" w:eastAsia="Times New Roman" w:hAnsi="Sylfaen" w:cs="Times New Roman"/>
          <w:b/>
          <w:i/>
          <w:sz w:val="20"/>
          <w:szCs w:val="20"/>
          <w:lang w:val="ka-GE"/>
        </w:rPr>
        <w:t>,</w:t>
      </w:r>
      <w:r w:rsidRPr="008D5631">
        <w:rPr>
          <w:rFonts w:ascii="Sylfaen" w:eastAsia="Times New Roman" w:hAnsi="Sylfaen" w:cs="Times New Roman"/>
          <w:sz w:val="20"/>
          <w:szCs w:val="20"/>
          <w:lang w:val="ka-GE"/>
        </w:rPr>
        <w:t xml:space="preserve"> 2500 გ-ზე მეტი წონის პაციენტების ხანგრძლივი დაყოვნება სტაციონარში. განსაკუთრებით საყურადღებოა ინტენსიური</w:t>
      </w:r>
      <w:r w:rsidR="00023CC2">
        <w:rPr>
          <w:rFonts w:ascii="Sylfaen" w:eastAsia="Times New Roman" w:hAnsi="Sylfaen" w:cs="Times New Roman"/>
          <w:sz w:val="20"/>
          <w:szCs w:val="20"/>
          <w:lang w:val="ka-GE"/>
        </w:rPr>
        <w:t xml:space="preserve"> თერაპიის დონეების განსაზღვრება</w:t>
      </w:r>
      <w:r w:rsidRPr="008D5631">
        <w:rPr>
          <w:rFonts w:ascii="Sylfaen" w:eastAsia="Times New Roman" w:hAnsi="Sylfaen" w:cs="Times New Roman"/>
          <w:sz w:val="20"/>
          <w:szCs w:val="20"/>
          <w:lang w:val="ka-GE"/>
        </w:rPr>
        <w:t xml:space="preserve">, რომელიც მოწოდებულია ნეონატოლოგთა ასოციაციის მიერ. </w:t>
      </w:r>
      <w:r w:rsidRPr="008D5631">
        <w:rPr>
          <w:rFonts w:ascii="Sylfaen" w:eastAsia="Times New Roman" w:hAnsi="Sylfaen" w:cs="Times New Roman"/>
          <w:sz w:val="20"/>
          <w:szCs w:val="20"/>
        </w:rPr>
        <w:t xml:space="preserve">DRG </w:t>
      </w:r>
      <w:r w:rsidRPr="008D5631">
        <w:rPr>
          <w:rFonts w:ascii="Sylfaen" w:eastAsia="Times New Roman" w:hAnsi="Sylfaen" w:cs="Times New Roman"/>
          <w:sz w:val="20"/>
          <w:szCs w:val="20"/>
          <w:lang w:val="ka-GE"/>
        </w:rPr>
        <w:t xml:space="preserve">იმპლემენტაციის პირობებში ნეონატალურ ასაკთან დაკავშირებული ჰოსპიტალიზაციისა და დაყოვნების საკითხი ნაწილობრივ დარეგულირდება, </w:t>
      </w:r>
      <w:r w:rsidR="0023358E">
        <w:rPr>
          <w:rFonts w:ascii="Sylfaen" w:eastAsia="Times New Roman" w:hAnsi="Sylfaen" w:cs="Times New Roman"/>
          <w:sz w:val="20"/>
          <w:szCs w:val="20"/>
          <w:lang w:val="ka-GE"/>
        </w:rPr>
        <w:t xml:space="preserve">თუმცა </w:t>
      </w:r>
      <w:r w:rsidRPr="008D5631">
        <w:rPr>
          <w:rFonts w:ascii="Sylfaen" w:eastAsia="Times New Roman" w:hAnsi="Sylfaen" w:cs="Times New Roman"/>
          <w:b/>
          <w:i/>
          <w:sz w:val="20"/>
          <w:szCs w:val="20"/>
          <w:lang w:val="ka-GE"/>
        </w:rPr>
        <w:t xml:space="preserve">მიზანშეწონილია ინტენსიური მოვლის დონეების დიფერენცირება მართვითი სუნთქვის საჭიროების მიხედვით (როგორც მოზრდილებშია და გარკვეულწილად, აპრობირებულია ევროპის რიგ ქვეყნებში) და ამის მიხედვით </w:t>
      </w:r>
      <w:r w:rsidRPr="008D5631">
        <w:rPr>
          <w:rFonts w:ascii="Sylfaen" w:eastAsia="Times New Roman" w:hAnsi="Sylfaen" w:cs="Times New Roman"/>
          <w:b/>
          <w:i/>
          <w:sz w:val="20"/>
          <w:szCs w:val="20"/>
          <w:lang w:val="ka-GE"/>
        </w:rPr>
        <w:lastRenderedPageBreak/>
        <w:t xml:space="preserve">ტარიფის განსაზღვრა. </w:t>
      </w:r>
      <w:r w:rsidRPr="0023358E">
        <w:rPr>
          <w:rFonts w:ascii="Sylfaen" w:eastAsia="Times New Roman" w:hAnsi="Sylfaen" w:cs="Times New Roman"/>
          <w:sz w:val="20"/>
          <w:szCs w:val="20"/>
          <w:lang w:val="ka-GE"/>
        </w:rPr>
        <w:t>საჭიროა შემუშავდეს ხარისხის ინდიკატორები და სხვა დამატებითი მაჩვენებლები, რომელთა მონიტორინგი შესაძლებელი იქნება პროგრამული უზრუნველყოფის პირობებში, რაც მნიშვნელოვნად გააუმჯობესებს მონაცემების ხარისხს და გაამარტივებს დაბალი რისკის პაციენტების ჰოსპიტალიზაციის/დაყოვნების გამოვლენას.</w:t>
      </w:r>
      <w:r w:rsidR="0023358E">
        <w:rPr>
          <w:rFonts w:ascii="Sylfaen" w:eastAsia="Times New Roman" w:hAnsi="Sylfaen" w:cs="Times New Roman"/>
          <w:b/>
          <w:i/>
          <w:sz w:val="20"/>
          <w:szCs w:val="20"/>
          <w:lang w:val="ka-GE"/>
        </w:rPr>
        <w:t xml:space="preserve"> </w:t>
      </w:r>
    </w:p>
    <w:p w:rsidR="008D5631" w:rsidRPr="006E1914" w:rsidRDefault="008D5631" w:rsidP="008D5631">
      <w:pPr>
        <w:spacing w:before="120" w:after="120"/>
        <w:ind w:right="57" w:firstLine="567"/>
        <w:jc w:val="both"/>
        <w:rPr>
          <w:rFonts w:ascii="Sylfaen" w:eastAsia="Times New Roman" w:hAnsi="Sylfaen" w:cs="Times New Roman"/>
          <w:b/>
          <w:i/>
          <w:sz w:val="20"/>
          <w:szCs w:val="20"/>
        </w:rPr>
      </w:pPr>
      <w:r w:rsidRPr="008D5631">
        <w:rPr>
          <w:rFonts w:ascii="Sylfaen" w:eastAsia="Times New Roman" w:hAnsi="Sylfaen" w:cs="Times New Roman"/>
          <w:sz w:val="20"/>
          <w:szCs w:val="20"/>
          <w:lang w:val="ka-GE"/>
        </w:rPr>
        <w:t xml:space="preserve">შესაძლებელია განხილული იქნეს </w:t>
      </w:r>
      <w:r w:rsidRPr="008D5631">
        <w:rPr>
          <w:rFonts w:ascii="Sylfaen" w:eastAsia="Times New Roman" w:hAnsi="Sylfaen" w:cs="Times New Roman"/>
          <w:b/>
          <w:i/>
          <w:sz w:val="20"/>
          <w:szCs w:val="20"/>
          <w:lang w:val="ka-GE"/>
        </w:rPr>
        <w:t>„ხანგრძლივი მოვლის სტაციონარის“</w:t>
      </w:r>
      <w:r w:rsidRPr="008D5631">
        <w:rPr>
          <w:rFonts w:ascii="Sylfaen" w:eastAsia="Times New Roman" w:hAnsi="Sylfaen" w:cs="Times New Roman"/>
          <w:sz w:val="20"/>
          <w:szCs w:val="20"/>
          <w:lang w:val="ka-GE"/>
        </w:rPr>
        <w:t xml:space="preserve"> კომპონენტის ფარგლებში </w:t>
      </w:r>
      <w:r w:rsidRPr="006E1914">
        <w:rPr>
          <w:rFonts w:ascii="Sylfaen" w:eastAsia="Times New Roman" w:hAnsi="Sylfaen" w:cs="Times New Roman"/>
          <w:b/>
          <w:sz w:val="20"/>
          <w:szCs w:val="20"/>
          <w:lang w:val="ka-GE"/>
        </w:rPr>
        <w:t>სელექტიური კონტრაქტირება გლობალური ბიუჯეტის პრინციპის დაფინანსებით,</w:t>
      </w:r>
      <w:r w:rsidRPr="008D5631">
        <w:rPr>
          <w:rFonts w:ascii="Sylfaen" w:eastAsia="Times New Roman" w:hAnsi="Sylfaen" w:cs="Times New Roman"/>
          <w:sz w:val="20"/>
          <w:szCs w:val="20"/>
          <w:lang w:val="ka-GE"/>
        </w:rPr>
        <w:t xml:space="preserve"> მაგალითად, </w:t>
      </w:r>
      <w:r w:rsidR="000227EE">
        <w:rPr>
          <w:rFonts w:ascii="Sylfaen" w:eastAsia="Times New Roman" w:hAnsi="Sylfaen" w:cs="Times New Roman"/>
          <w:sz w:val="20"/>
          <w:szCs w:val="20"/>
          <w:lang w:val="ka-GE"/>
        </w:rPr>
        <w:t>საუნივერსიტეტო კლინიკებისთვის</w:t>
      </w:r>
      <w:r w:rsidRPr="008D5631">
        <w:rPr>
          <w:rFonts w:ascii="Sylfaen" w:eastAsia="Times New Roman" w:hAnsi="Sylfaen" w:cs="Times New Roman"/>
          <w:sz w:val="20"/>
          <w:szCs w:val="20"/>
          <w:lang w:val="ka-GE"/>
        </w:rPr>
        <w:t>. „ხანგრძლივი მოვლის სტაციონარისა“ და „ინკურაბელური პაციენტების პალიატიური მოვლის“ კომპონენტების გამიჯვნისა და შესაბამისი კრიტერიუმების დადგენის (ინკურაბელური პაციენტებისთვის კრიტერიუმები განსაზღვრულია, თუმცა გადასახედია) პირობებში</w:t>
      </w:r>
      <w:r>
        <w:rPr>
          <w:rFonts w:ascii="Sylfaen" w:eastAsia="Times New Roman" w:hAnsi="Sylfaen" w:cs="Times New Roman"/>
          <w:sz w:val="20"/>
          <w:szCs w:val="20"/>
          <w:lang w:val="ka-GE"/>
        </w:rPr>
        <w:t xml:space="preserve">, </w:t>
      </w:r>
      <w:r w:rsidRPr="008D5631">
        <w:rPr>
          <w:rFonts w:ascii="Sylfaen" w:eastAsia="Times New Roman" w:hAnsi="Sylfaen" w:cs="Times New Roman"/>
          <w:sz w:val="20"/>
          <w:szCs w:val="20"/>
          <w:lang w:val="ka-GE"/>
        </w:rPr>
        <w:t xml:space="preserve">შესაძლებელი გახდება ახალი ლიმიტის ჩართვის მიზნით ხელოვნური </w:t>
      </w:r>
      <w:r w:rsidRPr="008D5631">
        <w:rPr>
          <w:rFonts w:ascii="Sylfaen" w:eastAsia="Times New Roman" w:hAnsi="Sylfaen" w:cs="Times New Roman"/>
          <w:b/>
          <w:sz w:val="20"/>
          <w:szCs w:val="20"/>
          <w:lang w:val="ka-GE"/>
        </w:rPr>
        <w:t>„რეჰოსპიტალიზაციის“</w:t>
      </w:r>
      <w:r w:rsidRPr="008D5631">
        <w:rPr>
          <w:rFonts w:ascii="Sylfaen" w:eastAsia="Times New Roman" w:hAnsi="Sylfaen" w:cs="Times New Roman"/>
          <w:sz w:val="20"/>
          <w:szCs w:val="20"/>
          <w:lang w:val="ka-GE"/>
        </w:rPr>
        <w:t xml:space="preserve"> შემთხვევები/მცდელობების დარეგულირება</w:t>
      </w:r>
      <w:r w:rsidR="00BA3A64">
        <w:rPr>
          <w:rFonts w:ascii="Sylfaen" w:eastAsia="Times New Roman" w:hAnsi="Sylfaen" w:cs="Times New Roman"/>
          <w:sz w:val="20"/>
          <w:szCs w:val="20"/>
          <w:lang w:val="ka-GE"/>
        </w:rPr>
        <w:t xml:space="preserve"> (შემთხვევაზე ლიმიტის პირობებში ხდება პაციენტის გაწერა კლინიკიდან რამდენიმე დღით ან კვირით, შემდგომ მისი განმეორებით ჰოსპიტა</w:t>
      </w:r>
      <w:r w:rsidR="00D11E2B">
        <w:rPr>
          <w:rFonts w:ascii="Sylfaen" w:eastAsia="Times New Roman" w:hAnsi="Sylfaen" w:cs="Times New Roman"/>
          <w:sz w:val="20"/>
          <w:szCs w:val="20"/>
          <w:lang w:val="ka-GE"/>
        </w:rPr>
        <w:t>ლიზაცია განსხვავებული დიაგნოზით;</w:t>
      </w:r>
      <w:r w:rsidR="00BA3A64">
        <w:rPr>
          <w:rFonts w:ascii="Sylfaen" w:eastAsia="Times New Roman" w:hAnsi="Sylfaen" w:cs="Times New Roman"/>
          <w:sz w:val="20"/>
          <w:szCs w:val="20"/>
          <w:lang w:val="ka-GE"/>
        </w:rPr>
        <w:t xml:space="preserve"> სამედიცინო დოკუმენტაციის შესწავლისას შესაძლებელია კავშირის დადგენა და დაფინანსებაზე უარის თქმა</w:t>
      </w:r>
      <w:r w:rsidR="00211DE6">
        <w:rPr>
          <w:rFonts w:ascii="Sylfaen" w:eastAsia="Times New Roman" w:hAnsi="Sylfaen" w:cs="Times New Roman"/>
          <w:sz w:val="20"/>
          <w:szCs w:val="20"/>
          <w:lang w:val="ka-GE"/>
        </w:rPr>
        <w:t xml:space="preserve">, თუმცა ამ </w:t>
      </w:r>
      <w:r w:rsidR="00FF158F">
        <w:rPr>
          <w:rFonts w:ascii="Sylfaen" w:eastAsia="Times New Roman" w:hAnsi="Sylfaen" w:cs="Times New Roman"/>
          <w:sz w:val="20"/>
          <w:szCs w:val="20"/>
          <w:lang w:val="ka-GE"/>
        </w:rPr>
        <w:t xml:space="preserve">შემთხვევებში </w:t>
      </w:r>
      <w:r w:rsidR="00211DE6">
        <w:rPr>
          <w:rFonts w:ascii="Sylfaen" w:eastAsia="Times New Roman" w:hAnsi="Sylfaen" w:cs="Times New Roman"/>
          <w:sz w:val="20"/>
          <w:szCs w:val="20"/>
          <w:lang w:val="ka-GE"/>
        </w:rPr>
        <w:t xml:space="preserve">დავები ხშირად </w:t>
      </w:r>
      <w:r w:rsidR="00FF158F">
        <w:rPr>
          <w:rFonts w:ascii="Sylfaen" w:eastAsia="Times New Roman" w:hAnsi="Sylfaen" w:cs="Times New Roman"/>
          <w:sz w:val="20"/>
          <w:szCs w:val="20"/>
          <w:lang w:val="ka-GE"/>
        </w:rPr>
        <w:t xml:space="preserve">სცდება სოციალური მომსახურების სააგენტოს კომპეტენციას და </w:t>
      </w:r>
      <w:r w:rsidR="00211DE6">
        <w:rPr>
          <w:rFonts w:ascii="Sylfaen" w:eastAsia="Times New Roman" w:hAnsi="Sylfaen" w:cs="Times New Roman"/>
          <w:sz w:val="20"/>
          <w:szCs w:val="20"/>
          <w:lang w:val="ka-GE"/>
        </w:rPr>
        <w:t>სამედიცინო მომსახურების ხარისხ</w:t>
      </w:r>
      <w:r w:rsidR="00FF158F">
        <w:rPr>
          <w:rFonts w:ascii="Sylfaen" w:eastAsia="Times New Roman" w:hAnsi="Sylfaen" w:cs="Times New Roman"/>
          <w:sz w:val="20"/>
          <w:szCs w:val="20"/>
          <w:lang w:val="ka-GE"/>
        </w:rPr>
        <w:t>ი</w:t>
      </w:r>
      <w:r w:rsidR="00211DE6">
        <w:rPr>
          <w:rFonts w:ascii="Sylfaen" w:eastAsia="Times New Roman" w:hAnsi="Sylfaen" w:cs="Times New Roman"/>
          <w:sz w:val="20"/>
          <w:szCs w:val="20"/>
          <w:lang w:val="ka-GE"/>
        </w:rPr>
        <w:t xml:space="preserve">სა და </w:t>
      </w:r>
      <w:r w:rsidR="00FF158F">
        <w:rPr>
          <w:rFonts w:ascii="Sylfaen" w:eastAsia="Times New Roman" w:hAnsi="Sylfaen" w:cs="Times New Roman"/>
          <w:sz w:val="20"/>
          <w:szCs w:val="20"/>
          <w:lang w:val="ka-GE"/>
        </w:rPr>
        <w:t>სამკურნალო-</w:t>
      </w:r>
      <w:r w:rsidR="00211DE6">
        <w:rPr>
          <w:rFonts w:ascii="Sylfaen" w:eastAsia="Times New Roman" w:hAnsi="Sylfaen" w:cs="Times New Roman"/>
          <w:sz w:val="20"/>
          <w:szCs w:val="20"/>
          <w:lang w:val="ka-GE"/>
        </w:rPr>
        <w:t>დი</w:t>
      </w:r>
      <w:r w:rsidR="00FF158F">
        <w:rPr>
          <w:rFonts w:ascii="Sylfaen" w:eastAsia="Times New Roman" w:hAnsi="Sylfaen" w:cs="Times New Roman"/>
          <w:sz w:val="20"/>
          <w:szCs w:val="20"/>
          <w:lang w:val="ka-GE"/>
        </w:rPr>
        <w:t>ა</w:t>
      </w:r>
      <w:r w:rsidR="00211DE6">
        <w:rPr>
          <w:rFonts w:ascii="Sylfaen" w:eastAsia="Times New Roman" w:hAnsi="Sylfaen" w:cs="Times New Roman"/>
          <w:sz w:val="20"/>
          <w:szCs w:val="20"/>
          <w:lang w:val="ka-GE"/>
        </w:rPr>
        <w:t>გნოსტიკურ</w:t>
      </w:r>
      <w:r w:rsidR="00FF158F">
        <w:rPr>
          <w:rFonts w:ascii="Sylfaen" w:eastAsia="Times New Roman" w:hAnsi="Sylfaen" w:cs="Times New Roman"/>
          <w:sz w:val="20"/>
          <w:szCs w:val="20"/>
          <w:lang w:val="ka-GE"/>
        </w:rPr>
        <w:t xml:space="preserve">ი პროცედურების შინაარსობრივ განხილვაში გადადის). </w:t>
      </w:r>
      <w:r w:rsidR="006E1914" w:rsidRPr="006E1914">
        <w:rPr>
          <w:rFonts w:ascii="Sylfaen" w:eastAsia="Times New Roman" w:hAnsi="Sylfaen" w:cs="Times New Roman"/>
          <w:b/>
          <w:i/>
          <w:sz w:val="20"/>
          <w:szCs w:val="20"/>
          <w:lang w:val="ka-GE"/>
        </w:rPr>
        <w:t>ასევე მნიშვნელოვანია ხანგ</w:t>
      </w:r>
      <w:r w:rsidR="00D11E2B">
        <w:rPr>
          <w:rFonts w:ascii="Sylfaen" w:eastAsia="Times New Roman" w:hAnsi="Sylfaen" w:cs="Times New Roman"/>
          <w:b/>
          <w:i/>
          <w:sz w:val="20"/>
          <w:szCs w:val="20"/>
          <w:lang w:val="ka-GE"/>
        </w:rPr>
        <w:t>რძლ</w:t>
      </w:r>
      <w:r w:rsidR="006E1914" w:rsidRPr="006E1914">
        <w:rPr>
          <w:rFonts w:ascii="Sylfaen" w:eastAsia="Times New Roman" w:hAnsi="Sylfaen" w:cs="Times New Roman"/>
          <w:b/>
          <w:i/>
          <w:sz w:val="20"/>
          <w:szCs w:val="20"/>
          <w:lang w:val="ka-GE"/>
        </w:rPr>
        <w:t xml:space="preserve">ივი მოვლის სტაციონარში მოსარგებლის მხრიდან თანაგადახდის დადგენა.  </w:t>
      </w:r>
    </w:p>
    <w:p w:rsidR="00E77DD3" w:rsidRPr="006E1914" w:rsidRDefault="00044639" w:rsidP="006E1914">
      <w:pPr>
        <w:spacing w:before="120" w:after="120"/>
        <w:ind w:right="57" w:firstLine="567"/>
        <w:jc w:val="both"/>
        <w:rPr>
          <w:rFonts w:ascii="Sylfaen" w:eastAsia="Times New Roman" w:hAnsi="Sylfaen" w:cs="Times New Roman"/>
          <w:b/>
          <w:i/>
          <w:sz w:val="20"/>
          <w:szCs w:val="20"/>
          <w:lang w:val="ka-GE"/>
        </w:rPr>
      </w:pPr>
      <w:r>
        <w:rPr>
          <w:rFonts w:ascii="Sylfaen" w:eastAsia="Times New Roman" w:hAnsi="Sylfaen" w:cs="Times New Roman"/>
          <w:sz w:val="20"/>
          <w:szCs w:val="20"/>
          <w:lang w:val="ka-GE"/>
        </w:rPr>
        <w:t>შესაძ</w:t>
      </w:r>
      <w:r w:rsidR="000227EE">
        <w:rPr>
          <w:rFonts w:ascii="Sylfaen" w:eastAsia="Times New Roman" w:hAnsi="Sylfaen" w:cs="Times New Roman"/>
          <w:sz w:val="20"/>
          <w:szCs w:val="20"/>
          <w:lang w:val="ka-GE"/>
        </w:rPr>
        <w:t xml:space="preserve">ლებელია განხილულ იქნეს </w:t>
      </w:r>
      <w:r w:rsidR="008D5631" w:rsidRPr="006E1914">
        <w:rPr>
          <w:rFonts w:ascii="Sylfaen" w:eastAsia="Times New Roman" w:hAnsi="Sylfaen" w:cs="Times New Roman"/>
          <w:b/>
          <w:sz w:val="20"/>
          <w:szCs w:val="20"/>
          <w:lang w:val="ka-GE"/>
        </w:rPr>
        <w:t xml:space="preserve">გადაუდებელი სტაციონარული </w:t>
      </w:r>
      <w:r w:rsidR="00E77DD3" w:rsidRPr="006E1914">
        <w:rPr>
          <w:rFonts w:ascii="Sylfaen" w:eastAsia="Times New Roman" w:hAnsi="Sylfaen" w:cs="Times New Roman"/>
          <w:b/>
          <w:sz w:val="20"/>
          <w:szCs w:val="20"/>
          <w:lang w:val="ka-GE"/>
        </w:rPr>
        <w:t>მომსახურების ლიმიტის განსაზღვრა,</w:t>
      </w:r>
      <w:r w:rsidR="008D5631" w:rsidRPr="006E1914">
        <w:rPr>
          <w:rFonts w:ascii="Sylfaen" w:eastAsia="Times New Roman" w:hAnsi="Sylfaen" w:cs="Times New Roman"/>
          <w:b/>
          <w:sz w:val="20"/>
          <w:szCs w:val="20"/>
          <w:lang w:val="ka-GE"/>
        </w:rPr>
        <w:t xml:space="preserve"> </w:t>
      </w:r>
      <w:r w:rsidR="00E77DD3" w:rsidRPr="006E1914">
        <w:rPr>
          <w:rFonts w:ascii="Sylfaen" w:eastAsia="Times New Roman" w:hAnsi="Sylfaen" w:cs="Times New Roman"/>
          <w:b/>
          <w:i/>
          <w:sz w:val="20"/>
          <w:szCs w:val="20"/>
          <w:lang w:val="ka-GE"/>
        </w:rPr>
        <w:t xml:space="preserve">ხანგრძლივი დაყოვნების სტაციონარში ულიმიტო მომსახურების პირობებში. </w:t>
      </w:r>
      <w:r w:rsidR="00E77DD3" w:rsidRPr="006E1914">
        <w:rPr>
          <w:rFonts w:ascii="Sylfaen" w:eastAsia="Times New Roman" w:hAnsi="Sylfaen" w:cs="Times New Roman"/>
          <w:sz w:val="20"/>
          <w:szCs w:val="20"/>
          <w:lang w:val="ka-GE"/>
        </w:rPr>
        <w:t>გადაუდებელი სტაციონარული მომსახურების ლიმიტის განსაზღვრის შემთხვევაში თავიდან იქნება აცილებული ძვირადღირებული (ანგიოქირურგია, კარდიოქირურგია,  ონკოქირურგია) სასწრაფო დაყოვნებული ოპერაციების ოპერაციების „ტრანსფორმირება“ სასწრაფო დაუყოვნებელ ოპერაციებად (პროგრამის პირობების მიხედვით, მიეკუთვნება გადაუდებელ სტაციონარულ მომსახურებას</w:t>
      </w:r>
      <w:r w:rsidR="006E1914" w:rsidRPr="006E1914">
        <w:rPr>
          <w:rFonts w:ascii="Sylfaen" w:eastAsia="Times New Roman" w:hAnsi="Sylfaen" w:cs="Times New Roman"/>
          <w:sz w:val="20"/>
          <w:szCs w:val="20"/>
          <w:lang w:val="ka-GE"/>
        </w:rPr>
        <w:t>)</w:t>
      </w:r>
      <w:r w:rsidR="00E77DD3" w:rsidRPr="006E1914">
        <w:rPr>
          <w:rFonts w:ascii="Sylfaen" w:eastAsia="Times New Roman" w:hAnsi="Sylfaen" w:cs="Times New Roman"/>
          <w:sz w:val="20"/>
          <w:szCs w:val="20"/>
          <w:lang w:val="ka-GE"/>
        </w:rPr>
        <w:t xml:space="preserve">. ამასთან, ულიმიტო ხანგრძლივი მოვლის სტაციონარის პირობებში </w:t>
      </w:r>
      <w:r w:rsidR="006E1914" w:rsidRPr="006E1914">
        <w:rPr>
          <w:rFonts w:ascii="Sylfaen" w:eastAsia="Times New Roman" w:hAnsi="Sylfaen" w:cs="Times New Roman"/>
          <w:b/>
          <w:i/>
          <w:sz w:val="20"/>
          <w:szCs w:val="20"/>
          <w:lang w:val="ka-GE"/>
        </w:rPr>
        <w:t xml:space="preserve">ასაკობრივი და მიზნობრივი ჯგუფების, ასევე ვეტერანებისთვის მომსახურების მოცულობა </w:t>
      </w:r>
      <w:r w:rsidR="006E1914">
        <w:rPr>
          <w:rFonts w:ascii="Sylfaen" w:eastAsia="Times New Roman" w:hAnsi="Sylfaen" w:cs="Times New Roman"/>
          <w:b/>
          <w:i/>
          <w:sz w:val="20"/>
          <w:szCs w:val="20"/>
          <w:lang w:val="ka-GE"/>
        </w:rPr>
        <w:t xml:space="preserve">შინაარსობრივად </w:t>
      </w:r>
      <w:r w:rsidR="006E1914" w:rsidRPr="006E1914">
        <w:rPr>
          <w:rFonts w:ascii="Sylfaen" w:eastAsia="Times New Roman" w:hAnsi="Sylfaen" w:cs="Times New Roman"/>
          <w:b/>
          <w:i/>
          <w:sz w:val="20"/>
          <w:szCs w:val="20"/>
          <w:lang w:val="ka-GE"/>
        </w:rPr>
        <w:t>უცვლელი იქნება.</w:t>
      </w:r>
      <w:r w:rsidR="006E1914" w:rsidRPr="006E1914">
        <w:rPr>
          <w:rFonts w:ascii="Sylfaen" w:eastAsia="Times New Roman" w:hAnsi="Sylfaen" w:cs="Times New Roman"/>
          <w:i/>
          <w:sz w:val="20"/>
          <w:szCs w:val="20"/>
          <w:lang w:val="ka-GE"/>
        </w:rPr>
        <w:t xml:space="preserve"> </w:t>
      </w:r>
      <w:r w:rsidR="006E1914">
        <w:rPr>
          <w:rFonts w:ascii="Sylfaen" w:eastAsia="Times New Roman" w:hAnsi="Sylfaen" w:cs="Times New Roman"/>
          <w:i/>
          <w:sz w:val="20"/>
          <w:szCs w:val="20"/>
          <w:lang w:val="ka-GE"/>
        </w:rPr>
        <w:t>იმ გარემო</w:t>
      </w:r>
      <w:r w:rsidR="00023CC2">
        <w:rPr>
          <w:rFonts w:ascii="Sylfaen" w:eastAsia="Times New Roman" w:hAnsi="Sylfaen" w:cs="Times New Roman"/>
          <w:i/>
          <w:sz w:val="20"/>
          <w:szCs w:val="20"/>
          <w:lang w:val="ka-GE"/>
        </w:rPr>
        <w:t>ე</w:t>
      </w:r>
      <w:r w:rsidR="006E1914">
        <w:rPr>
          <w:rFonts w:ascii="Sylfaen" w:eastAsia="Times New Roman" w:hAnsi="Sylfaen" w:cs="Times New Roman"/>
          <w:i/>
          <w:sz w:val="20"/>
          <w:szCs w:val="20"/>
          <w:lang w:val="ka-GE"/>
        </w:rPr>
        <w:t>ბის გათვალისწინებით, რომ ე. წ. საბაზისო პაკეტის მოსარგებლეები გახანგ</w:t>
      </w:r>
      <w:r w:rsidR="00023CC2">
        <w:rPr>
          <w:rFonts w:ascii="Sylfaen" w:eastAsia="Times New Roman" w:hAnsi="Sylfaen" w:cs="Times New Roman"/>
          <w:i/>
          <w:sz w:val="20"/>
          <w:szCs w:val="20"/>
          <w:lang w:val="ka-GE"/>
        </w:rPr>
        <w:t>რ</w:t>
      </w:r>
      <w:bookmarkStart w:id="0" w:name="_GoBack"/>
      <w:bookmarkEnd w:id="0"/>
      <w:r w:rsidR="006E1914">
        <w:rPr>
          <w:rFonts w:ascii="Sylfaen" w:eastAsia="Times New Roman" w:hAnsi="Sylfaen" w:cs="Times New Roman"/>
          <w:i/>
          <w:sz w:val="20"/>
          <w:szCs w:val="20"/>
          <w:lang w:val="ka-GE"/>
        </w:rPr>
        <w:t xml:space="preserve">ძლივებული მკურნალობის დროს ალტერნატიულ დაფინანსებას ისევ საბიუჯეტო სახსრებიდან იღებენ,  შეიძლება განხილულ იქნეს ამ ტიპის ბენეფიციარებისთვის </w:t>
      </w:r>
      <w:r w:rsidR="006E1914" w:rsidRPr="006E1914">
        <w:rPr>
          <w:rFonts w:ascii="Sylfaen" w:eastAsia="Times New Roman" w:hAnsi="Sylfaen" w:cs="Times New Roman"/>
          <w:b/>
          <w:i/>
          <w:sz w:val="20"/>
          <w:szCs w:val="20"/>
          <w:lang w:val="ka-GE"/>
        </w:rPr>
        <w:t>ხანგრძლივი დაყოვნების სტაციონარში</w:t>
      </w:r>
      <w:r w:rsidR="006E1914">
        <w:rPr>
          <w:rFonts w:ascii="Sylfaen" w:eastAsia="Times New Roman" w:hAnsi="Sylfaen" w:cs="Times New Roman"/>
          <w:b/>
          <w:i/>
          <w:sz w:val="20"/>
          <w:szCs w:val="20"/>
          <w:lang w:val="ka-GE"/>
        </w:rPr>
        <w:t xml:space="preserve"> დამატებითი ლიმიტით ან ულიმიტო მომსახურება.</w:t>
      </w:r>
    </w:p>
    <w:p w:rsidR="00B74E4E" w:rsidRDefault="00B74E4E" w:rsidP="008D5631"/>
    <w:sectPr w:rsidR="00B74E4E" w:rsidSect="0023358E">
      <w:footerReference w:type="default" r:id="rId7"/>
      <w:pgSz w:w="12240" w:h="15840"/>
      <w:pgMar w:top="1134" w:right="1183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4C0C" w:rsidRDefault="002A4C0C" w:rsidP="00245A2B">
      <w:pPr>
        <w:spacing w:after="0" w:line="240" w:lineRule="auto"/>
      </w:pPr>
      <w:r>
        <w:separator/>
      </w:r>
    </w:p>
  </w:endnote>
  <w:endnote w:type="continuationSeparator" w:id="0">
    <w:p w:rsidR="002A4C0C" w:rsidRDefault="002A4C0C" w:rsidP="00245A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4422158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45A2B" w:rsidRDefault="00245A2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23CC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45A2B" w:rsidRDefault="00245A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4C0C" w:rsidRDefault="002A4C0C" w:rsidP="00245A2B">
      <w:pPr>
        <w:spacing w:after="0" w:line="240" w:lineRule="auto"/>
      </w:pPr>
      <w:r>
        <w:separator/>
      </w:r>
    </w:p>
  </w:footnote>
  <w:footnote w:type="continuationSeparator" w:id="0">
    <w:p w:rsidR="002A4C0C" w:rsidRDefault="002A4C0C" w:rsidP="00245A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36996"/>
    <w:multiLevelType w:val="hybridMultilevel"/>
    <w:tmpl w:val="B9E4E7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5147DF"/>
    <w:multiLevelType w:val="hybridMultilevel"/>
    <w:tmpl w:val="A29CA7D8"/>
    <w:lvl w:ilvl="0" w:tplc="5CA8EC84">
      <w:start w:val="1"/>
      <w:numFmt w:val="decimal"/>
      <w:lvlText w:val="%1."/>
      <w:lvlJc w:val="left"/>
      <w:pPr>
        <w:ind w:left="928" w:hanging="360"/>
      </w:pPr>
      <w:rPr>
        <w:rFonts w:eastAsia="Sylfaen" w:hint="default"/>
      </w:rPr>
    </w:lvl>
    <w:lvl w:ilvl="1" w:tplc="04090019">
      <w:start w:val="1"/>
      <w:numFmt w:val="lowerLetter"/>
      <w:lvlText w:val="%2."/>
      <w:lvlJc w:val="left"/>
      <w:pPr>
        <w:ind w:left="6338" w:hanging="360"/>
      </w:pPr>
    </w:lvl>
    <w:lvl w:ilvl="2" w:tplc="0409001B" w:tentative="1">
      <w:start w:val="1"/>
      <w:numFmt w:val="lowerRoman"/>
      <w:lvlText w:val="%3."/>
      <w:lvlJc w:val="right"/>
      <w:pPr>
        <w:ind w:left="7058" w:hanging="180"/>
      </w:pPr>
    </w:lvl>
    <w:lvl w:ilvl="3" w:tplc="0409000F" w:tentative="1">
      <w:start w:val="1"/>
      <w:numFmt w:val="decimal"/>
      <w:lvlText w:val="%4."/>
      <w:lvlJc w:val="left"/>
      <w:pPr>
        <w:ind w:left="7778" w:hanging="360"/>
      </w:pPr>
    </w:lvl>
    <w:lvl w:ilvl="4" w:tplc="04090019" w:tentative="1">
      <w:start w:val="1"/>
      <w:numFmt w:val="lowerLetter"/>
      <w:lvlText w:val="%5."/>
      <w:lvlJc w:val="left"/>
      <w:pPr>
        <w:ind w:left="8498" w:hanging="360"/>
      </w:pPr>
    </w:lvl>
    <w:lvl w:ilvl="5" w:tplc="0409001B" w:tentative="1">
      <w:start w:val="1"/>
      <w:numFmt w:val="lowerRoman"/>
      <w:lvlText w:val="%6."/>
      <w:lvlJc w:val="right"/>
      <w:pPr>
        <w:ind w:left="9218" w:hanging="180"/>
      </w:pPr>
    </w:lvl>
    <w:lvl w:ilvl="6" w:tplc="0409000F" w:tentative="1">
      <w:start w:val="1"/>
      <w:numFmt w:val="decimal"/>
      <w:lvlText w:val="%7."/>
      <w:lvlJc w:val="left"/>
      <w:pPr>
        <w:ind w:left="9938" w:hanging="360"/>
      </w:pPr>
    </w:lvl>
    <w:lvl w:ilvl="7" w:tplc="04090019" w:tentative="1">
      <w:start w:val="1"/>
      <w:numFmt w:val="lowerLetter"/>
      <w:lvlText w:val="%8."/>
      <w:lvlJc w:val="left"/>
      <w:pPr>
        <w:ind w:left="10658" w:hanging="360"/>
      </w:pPr>
    </w:lvl>
    <w:lvl w:ilvl="8" w:tplc="0409001B" w:tentative="1">
      <w:start w:val="1"/>
      <w:numFmt w:val="lowerRoman"/>
      <w:lvlText w:val="%9."/>
      <w:lvlJc w:val="right"/>
      <w:pPr>
        <w:ind w:left="1137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631"/>
    <w:rsid w:val="000227EE"/>
    <w:rsid w:val="00023CC2"/>
    <w:rsid w:val="00044639"/>
    <w:rsid w:val="000F0A92"/>
    <w:rsid w:val="00211DE6"/>
    <w:rsid w:val="0023358E"/>
    <w:rsid w:val="00245A2B"/>
    <w:rsid w:val="002A4C0C"/>
    <w:rsid w:val="004323ED"/>
    <w:rsid w:val="00636B31"/>
    <w:rsid w:val="006E1914"/>
    <w:rsid w:val="00705CE6"/>
    <w:rsid w:val="008D5631"/>
    <w:rsid w:val="00B74E4E"/>
    <w:rsid w:val="00BA3A64"/>
    <w:rsid w:val="00C010FA"/>
    <w:rsid w:val="00C86879"/>
    <w:rsid w:val="00CA5BB7"/>
    <w:rsid w:val="00D11E2B"/>
    <w:rsid w:val="00DA260C"/>
    <w:rsid w:val="00E33874"/>
    <w:rsid w:val="00E77DD3"/>
    <w:rsid w:val="00EF314E"/>
    <w:rsid w:val="00FF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19A1BA"/>
  <w15:chartTrackingRefBased/>
  <w15:docId w15:val="{06990D4B-E4D6-47B7-85DA-C01DD92DC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5631"/>
    <w:pPr>
      <w:spacing w:after="200" w:line="27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45A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5A2B"/>
  </w:style>
  <w:style w:type="paragraph" w:styleId="Footer">
    <w:name w:val="footer"/>
    <w:basedOn w:val="Normal"/>
    <w:link w:val="FooterChar"/>
    <w:uiPriority w:val="99"/>
    <w:unhideWhenUsed/>
    <w:rsid w:val="00245A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5A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743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maghlakelidze</dc:creator>
  <cp:keywords/>
  <dc:description/>
  <cp:lastModifiedBy>maia maghlakelidze</cp:lastModifiedBy>
  <cp:revision>8</cp:revision>
  <dcterms:created xsi:type="dcterms:W3CDTF">2019-06-29T15:55:00Z</dcterms:created>
  <dcterms:modified xsi:type="dcterms:W3CDTF">2019-06-29T18:52:00Z</dcterms:modified>
</cp:coreProperties>
</file>